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320" w:rsidRDefault="00641320" w:rsidP="00641320">
      <w:bookmarkStart w:id="0" w:name="_GoBack"/>
      <w:bookmarkEnd w:id="0"/>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-142875</wp:posOffset>
            </wp:positionV>
            <wp:extent cx="1400175" cy="571500"/>
            <wp:effectExtent l="0" t="0" r="0" b="0"/>
            <wp:wrapTopAndBottom/>
            <wp:docPr id="1" name="Image 1" descr="MFFP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FFPw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571500"/>
                    </a:xfrm>
                    <a:prstGeom prst="rect">
                      <a:avLst/>
                    </a:prstGeom>
                    <a:noFill/>
                  </pic:spPr>
                </pic:pic>
              </a:graphicData>
            </a:graphic>
            <wp14:sizeRelH relativeFrom="page">
              <wp14:pctWidth>0</wp14:pctWidth>
            </wp14:sizeRelH>
            <wp14:sizeRelV relativeFrom="page">
              <wp14:pctHeight>0</wp14:pctHeight>
            </wp14:sizeRelV>
          </wp:anchor>
        </w:drawing>
      </w:r>
      <w:r>
        <w:t>Mesdames, Messieurs,</w:t>
      </w:r>
    </w:p>
    <w:p w:rsidR="00641320" w:rsidRDefault="00641320" w:rsidP="00641320"/>
    <w:p w:rsidR="00641320" w:rsidRDefault="00641320" w:rsidP="00641320">
      <w:r>
        <w:t xml:space="preserve">Dans le cadre des opérations liées à la détection d’un cas de maladie débilitante chronique (MDC) chez un cervidé d’élevage qui se déroulent sur le territoire de vos MRC, le MFFP souhaite échantillonner les cerfs victimes de collisions routières sur le réseau municipal non couvert par le ministère des Transports (MTMDET). L’échantillonnage se ferait </w:t>
      </w:r>
      <w:r>
        <w:rPr>
          <w:b/>
          <w:bCs/>
        </w:rPr>
        <w:t>uniquement dans vos municipalités (voir tableau ci-dessous)</w:t>
      </w:r>
      <w:r>
        <w:t>.</w:t>
      </w:r>
    </w:p>
    <w:p w:rsidR="00641320" w:rsidRDefault="00641320" w:rsidP="00641320"/>
    <w:p w:rsidR="00641320" w:rsidRDefault="00641320" w:rsidP="00641320">
      <w:pPr>
        <w:rPr>
          <w:b/>
          <w:bCs/>
        </w:rPr>
      </w:pPr>
      <w:r>
        <w:t xml:space="preserve">Les appels de signalement d’une carcasse de cerf sur le réseau municipal devraient être dirigés à notre Quartier Général au : </w:t>
      </w:r>
      <w:r>
        <w:rPr>
          <w:b/>
          <w:bCs/>
        </w:rPr>
        <w:t xml:space="preserve">819-242-2853. </w:t>
      </w:r>
      <w:r>
        <w:t xml:space="preserve"> Cette ligne téléphonique n’est pas associée à une boîte vocale mais </w:t>
      </w:r>
      <w:r>
        <w:rPr>
          <w:b/>
          <w:bCs/>
        </w:rPr>
        <w:t>nous serons en mesure de répondre aux appels entre 10 h et 22 h, 7 jours sur 7.</w:t>
      </w:r>
      <w:r>
        <w:t xml:space="preserve"> </w:t>
      </w:r>
      <w:r>
        <w:rPr>
          <w:u w:val="single"/>
        </w:rPr>
        <w:t>Notre personnel se chargera ensuite d’aller récupérer la carcasse de cerf dans les plus brefs délais, de l’échantillonner et d’en disposer adéquatement</w:t>
      </w:r>
      <w:r>
        <w:rPr>
          <w:b/>
          <w:bCs/>
          <w:u w:val="single"/>
        </w:rPr>
        <w:t>.</w:t>
      </w:r>
    </w:p>
    <w:p w:rsidR="00641320" w:rsidRDefault="00641320" w:rsidP="00641320"/>
    <w:p w:rsidR="00641320" w:rsidRDefault="00641320" w:rsidP="00641320">
      <w:r>
        <w:t>Un très grand merci pour votre collaboration.</w:t>
      </w:r>
    </w:p>
    <w:p w:rsidR="00641320" w:rsidRDefault="00641320" w:rsidP="00641320"/>
    <w:p w:rsidR="00641320" w:rsidRDefault="00641320" w:rsidP="00641320"/>
    <w:tbl>
      <w:tblPr>
        <w:tblW w:w="2969" w:type="pct"/>
        <w:tblCellMar>
          <w:left w:w="0" w:type="dxa"/>
          <w:right w:w="0" w:type="dxa"/>
        </w:tblCellMar>
        <w:tblLook w:val="04A0" w:firstRow="1" w:lastRow="0" w:firstColumn="1" w:lastColumn="0" w:noHBand="0" w:noVBand="1"/>
      </w:tblPr>
      <w:tblGrid>
        <w:gridCol w:w="1769"/>
        <w:gridCol w:w="1579"/>
        <w:gridCol w:w="1771"/>
      </w:tblGrid>
      <w:tr w:rsidR="00641320" w:rsidTr="00641320">
        <w:trPr>
          <w:trHeight w:val="253"/>
        </w:trPr>
        <w:tc>
          <w:tcPr>
            <w:tcW w:w="1933" w:type="dxa"/>
            <w:tcBorders>
              <w:top w:val="single" w:sz="8" w:space="0" w:color="00000A"/>
              <w:left w:val="single" w:sz="8" w:space="0" w:color="00000A"/>
              <w:bottom w:val="single" w:sz="8" w:space="0" w:color="00000A"/>
              <w:right w:val="single" w:sz="8" w:space="0" w:color="00000A"/>
            </w:tcBorders>
            <w:tcMar>
              <w:top w:w="0" w:type="dxa"/>
              <w:left w:w="35" w:type="dxa"/>
              <w:bottom w:w="0" w:type="dxa"/>
              <w:right w:w="30" w:type="dxa"/>
            </w:tcMar>
            <w:vAlign w:val="center"/>
            <w:hideMark/>
          </w:tcPr>
          <w:p w:rsidR="00641320" w:rsidRDefault="00641320">
            <w:pPr>
              <w:pStyle w:val="Standard"/>
              <w:ind w:left="360"/>
              <w:jc w:val="both"/>
              <w:rPr>
                <w:rFonts w:ascii="Calibri" w:hAnsi="Calibri"/>
                <w:sz w:val="22"/>
                <w:szCs w:val="22"/>
              </w:rPr>
            </w:pPr>
            <w:r>
              <w:rPr>
                <w:rFonts w:ascii="Calibri" w:hAnsi="Calibri"/>
                <w:b/>
                <w:bCs/>
                <w:sz w:val="22"/>
                <w:szCs w:val="22"/>
              </w:rPr>
              <w:t>Région administrative</w:t>
            </w:r>
          </w:p>
        </w:tc>
        <w:tc>
          <w:tcPr>
            <w:tcW w:w="2589" w:type="dxa"/>
            <w:tcBorders>
              <w:top w:val="single" w:sz="8" w:space="0" w:color="00000A"/>
              <w:left w:val="nil"/>
              <w:bottom w:val="single" w:sz="8" w:space="0" w:color="00000A"/>
              <w:right w:val="single" w:sz="8" w:space="0" w:color="00000A"/>
            </w:tcBorders>
            <w:tcMar>
              <w:top w:w="0" w:type="dxa"/>
              <w:left w:w="35" w:type="dxa"/>
              <w:bottom w:w="0" w:type="dxa"/>
              <w:right w:w="30" w:type="dxa"/>
            </w:tcMar>
            <w:vAlign w:val="center"/>
            <w:hideMark/>
          </w:tcPr>
          <w:p w:rsidR="00641320" w:rsidRDefault="00641320">
            <w:pPr>
              <w:pStyle w:val="Standard"/>
              <w:ind w:left="360"/>
              <w:jc w:val="both"/>
              <w:rPr>
                <w:rFonts w:ascii="Calibri" w:hAnsi="Calibri"/>
                <w:sz w:val="22"/>
                <w:szCs w:val="22"/>
              </w:rPr>
            </w:pPr>
            <w:r>
              <w:rPr>
                <w:rFonts w:ascii="Calibri" w:hAnsi="Calibri"/>
                <w:b/>
                <w:bCs/>
                <w:sz w:val="22"/>
                <w:szCs w:val="22"/>
              </w:rPr>
              <w:t>MRC</w:t>
            </w:r>
          </w:p>
        </w:tc>
        <w:tc>
          <w:tcPr>
            <w:tcW w:w="3685" w:type="dxa"/>
            <w:tcBorders>
              <w:top w:val="single" w:sz="8" w:space="0" w:color="00000A"/>
              <w:left w:val="nil"/>
              <w:bottom w:val="single" w:sz="8" w:space="0" w:color="00000A"/>
              <w:right w:val="single" w:sz="8" w:space="0" w:color="00000A"/>
            </w:tcBorders>
            <w:tcMar>
              <w:top w:w="0" w:type="dxa"/>
              <w:left w:w="35" w:type="dxa"/>
              <w:bottom w:w="0" w:type="dxa"/>
              <w:right w:w="30" w:type="dxa"/>
            </w:tcMar>
            <w:vAlign w:val="center"/>
            <w:hideMark/>
          </w:tcPr>
          <w:p w:rsidR="00641320" w:rsidRDefault="00641320">
            <w:pPr>
              <w:pStyle w:val="Standard"/>
              <w:ind w:left="360"/>
              <w:jc w:val="both"/>
              <w:rPr>
                <w:rFonts w:ascii="Calibri" w:hAnsi="Calibri"/>
                <w:sz w:val="22"/>
                <w:szCs w:val="22"/>
              </w:rPr>
            </w:pPr>
            <w:r>
              <w:rPr>
                <w:rFonts w:ascii="Calibri" w:hAnsi="Calibri"/>
                <w:b/>
                <w:bCs/>
                <w:sz w:val="22"/>
                <w:szCs w:val="22"/>
              </w:rPr>
              <w:t>Municipalité</w:t>
            </w:r>
          </w:p>
        </w:tc>
      </w:tr>
      <w:tr w:rsidR="00641320" w:rsidTr="00641320">
        <w:trPr>
          <w:trHeight w:val="253"/>
        </w:trPr>
        <w:tc>
          <w:tcPr>
            <w:tcW w:w="1933" w:type="dxa"/>
            <w:vMerge w:val="restart"/>
            <w:tcBorders>
              <w:top w:val="nil"/>
              <w:left w:val="single" w:sz="8" w:space="0" w:color="00000A"/>
              <w:bottom w:val="single" w:sz="8" w:space="0" w:color="00000A"/>
              <w:right w:val="single" w:sz="8" w:space="0" w:color="00000A"/>
            </w:tcBorders>
            <w:tcMar>
              <w:top w:w="0" w:type="dxa"/>
              <w:left w:w="35" w:type="dxa"/>
              <w:bottom w:w="0" w:type="dxa"/>
              <w:right w:w="30" w:type="dxa"/>
            </w:tcMar>
            <w:vAlign w:val="center"/>
            <w:hideMark/>
          </w:tcPr>
          <w:p w:rsidR="00641320" w:rsidRDefault="00641320">
            <w:pPr>
              <w:pStyle w:val="Standard"/>
              <w:ind w:left="360"/>
              <w:jc w:val="both"/>
              <w:rPr>
                <w:rFonts w:ascii="Calibri" w:hAnsi="Calibri"/>
                <w:sz w:val="22"/>
                <w:szCs w:val="22"/>
              </w:rPr>
            </w:pPr>
            <w:r>
              <w:rPr>
                <w:rFonts w:ascii="Calibri" w:hAnsi="Calibri"/>
                <w:sz w:val="22"/>
                <w:szCs w:val="22"/>
              </w:rPr>
              <w:t>Laurentides</w:t>
            </w:r>
          </w:p>
        </w:tc>
        <w:tc>
          <w:tcPr>
            <w:tcW w:w="2589" w:type="dxa"/>
            <w:vMerge w:val="restart"/>
            <w:tcBorders>
              <w:top w:val="nil"/>
              <w:left w:val="nil"/>
              <w:bottom w:val="single" w:sz="8" w:space="0" w:color="00000A"/>
              <w:right w:val="single" w:sz="8" w:space="0" w:color="00000A"/>
            </w:tcBorders>
            <w:tcMar>
              <w:top w:w="0" w:type="dxa"/>
              <w:left w:w="35" w:type="dxa"/>
              <w:bottom w:w="0" w:type="dxa"/>
              <w:right w:w="30" w:type="dxa"/>
            </w:tcMar>
            <w:vAlign w:val="center"/>
            <w:hideMark/>
          </w:tcPr>
          <w:p w:rsidR="00641320" w:rsidRDefault="00641320">
            <w:pPr>
              <w:pStyle w:val="Standard"/>
              <w:ind w:left="360"/>
              <w:jc w:val="both"/>
              <w:rPr>
                <w:rFonts w:ascii="Calibri" w:hAnsi="Calibri"/>
                <w:sz w:val="22"/>
                <w:szCs w:val="22"/>
              </w:rPr>
            </w:pPr>
            <w:r>
              <w:rPr>
                <w:rFonts w:ascii="Calibri" w:hAnsi="Calibri"/>
                <w:sz w:val="22"/>
                <w:szCs w:val="22"/>
              </w:rPr>
              <w:t>Argenteuil</w:t>
            </w: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Harrington</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Grenville-sur-la-Rouge</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proofErr w:type="spellStart"/>
            <w:r>
              <w:rPr>
                <w:rFonts w:ascii="Calibri" w:hAnsi="Calibri"/>
                <w:sz w:val="22"/>
                <w:szCs w:val="22"/>
              </w:rPr>
              <w:t>Brownsburg</w:t>
            </w:r>
            <w:proofErr w:type="spellEnd"/>
            <w:r>
              <w:rPr>
                <w:rFonts w:ascii="Calibri" w:hAnsi="Calibri"/>
                <w:sz w:val="22"/>
                <w:szCs w:val="22"/>
              </w:rPr>
              <w:t>-Chatham</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2589" w:type="dxa"/>
            <w:vMerge w:val="restart"/>
            <w:tcBorders>
              <w:top w:val="nil"/>
              <w:left w:val="nil"/>
              <w:bottom w:val="single" w:sz="8" w:space="0" w:color="00000A"/>
              <w:right w:val="single" w:sz="8" w:space="0" w:color="00000A"/>
            </w:tcBorders>
            <w:tcMar>
              <w:top w:w="0" w:type="dxa"/>
              <w:left w:w="35" w:type="dxa"/>
              <w:bottom w:w="0" w:type="dxa"/>
              <w:right w:w="30" w:type="dxa"/>
            </w:tcMar>
            <w:vAlign w:val="center"/>
            <w:hideMark/>
          </w:tcPr>
          <w:p w:rsidR="00641320" w:rsidRDefault="00641320">
            <w:pPr>
              <w:pStyle w:val="Standard"/>
              <w:ind w:left="360"/>
              <w:jc w:val="both"/>
              <w:rPr>
                <w:rFonts w:ascii="Calibri" w:hAnsi="Calibri"/>
                <w:sz w:val="22"/>
                <w:szCs w:val="22"/>
              </w:rPr>
            </w:pPr>
            <w:r>
              <w:rPr>
                <w:rFonts w:ascii="Calibri" w:hAnsi="Calibri"/>
                <w:sz w:val="22"/>
                <w:szCs w:val="22"/>
              </w:rPr>
              <w:t>Les Laurentides</w:t>
            </w: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Amherst</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proofErr w:type="spellStart"/>
            <w:r>
              <w:rPr>
                <w:rFonts w:ascii="Calibri" w:hAnsi="Calibri"/>
                <w:sz w:val="22"/>
                <w:szCs w:val="22"/>
              </w:rPr>
              <w:t>Huberdeau</w:t>
            </w:r>
            <w:proofErr w:type="spellEnd"/>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Arundel</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Montcalm</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proofErr w:type="spellStart"/>
            <w:r>
              <w:rPr>
                <w:rFonts w:ascii="Calibri" w:hAnsi="Calibri"/>
                <w:sz w:val="22"/>
                <w:szCs w:val="22"/>
              </w:rPr>
              <w:t>Barkmere</w:t>
            </w:r>
            <w:proofErr w:type="spellEnd"/>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2589" w:type="dxa"/>
            <w:vMerge w:val="restart"/>
            <w:tcBorders>
              <w:top w:val="nil"/>
              <w:left w:val="nil"/>
              <w:bottom w:val="single" w:sz="8" w:space="0" w:color="00000A"/>
              <w:right w:val="single" w:sz="8" w:space="0" w:color="00000A"/>
            </w:tcBorders>
            <w:tcMar>
              <w:top w:w="0" w:type="dxa"/>
              <w:left w:w="35" w:type="dxa"/>
              <w:bottom w:w="0" w:type="dxa"/>
              <w:right w:w="30" w:type="dxa"/>
            </w:tcMar>
            <w:vAlign w:val="center"/>
            <w:hideMark/>
          </w:tcPr>
          <w:p w:rsidR="00641320" w:rsidRDefault="00641320">
            <w:pPr>
              <w:pStyle w:val="Standard"/>
              <w:ind w:left="360"/>
              <w:jc w:val="both"/>
              <w:rPr>
                <w:rFonts w:ascii="Calibri" w:hAnsi="Calibri"/>
                <w:sz w:val="22"/>
                <w:szCs w:val="22"/>
              </w:rPr>
            </w:pPr>
            <w:r>
              <w:rPr>
                <w:rFonts w:ascii="Calibri" w:hAnsi="Calibri"/>
                <w:sz w:val="22"/>
                <w:szCs w:val="22"/>
              </w:rPr>
              <w:t xml:space="preserve">Les </w:t>
            </w:r>
            <w:proofErr w:type="spellStart"/>
            <w:r>
              <w:rPr>
                <w:rFonts w:ascii="Calibri" w:hAnsi="Calibri"/>
                <w:sz w:val="22"/>
                <w:szCs w:val="22"/>
              </w:rPr>
              <w:t>Pays-d'en-Haut</w:t>
            </w:r>
            <w:proofErr w:type="spellEnd"/>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Lac-des-Seize-Îles</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Wentworth-Nord</w:t>
            </w:r>
          </w:p>
        </w:tc>
      </w:tr>
      <w:tr w:rsidR="00641320" w:rsidTr="00641320">
        <w:trPr>
          <w:trHeight w:val="253"/>
        </w:trPr>
        <w:tc>
          <w:tcPr>
            <w:tcW w:w="1933" w:type="dxa"/>
            <w:vMerge w:val="restart"/>
            <w:tcBorders>
              <w:top w:val="nil"/>
              <w:left w:val="single" w:sz="8" w:space="0" w:color="00000A"/>
              <w:bottom w:val="single" w:sz="8" w:space="0" w:color="00000A"/>
              <w:right w:val="single" w:sz="8" w:space="0" w:color="00000A"/>
            </w:tcBorders>
            <w:tcMar>
              <w:top w:w="0" w:type="dxa"/>
              <w:left w:w="35" w:type="dxa"/>
              <w:bottom w:w="0" w:type="dxa"/>
              <w:right w:w="30" w:type="dxa"/>
            </w:tcMar>
            <w:vAlign w:val="center"/>
            <w:hideMark/>
          </w:tcPr>
          <w:p w:rsidR="00641320" w:rsidRDefault="00641320">
            <w:pPr>
              <w:pStyle w:val="Standard"/>
              <w:ind w:left="360"/>
              <w:jc w:val="both"/>
              <w:rPr>
                <w:rFonts w:ascii="Calibri" w:hAnsi="Calibri"/>
                <w:sz w:val="22"/>
                <w:szCs w:val="22"/>
              </w:rPr>
            </w:pPr>
            <w:r>
              <w:rPr>
                <w:rFonts w:ascii="Calibri" w:hAnsi="Calibri"/>
                <w:sz w:val="22"/>
                <w:szCs w:val="22"/>
              </w:rPr>
              <w:t>Outaouais</w:t>
            </w:r>
          </w:p>
        </w:tc>
        <w:tc>
          <w:tcPr>
            <w:tcW w:w="2589" w:type="dxa"/>
            <w:vMerge w:val="restart"/>
            <w:tcBorders>
              <w:top w:val="nil"/>
              <w:left w:val="nil"/>
              <w:bottom w:val="single" w:sz="8" w:space="0" w:color="00000A"/>
              <w:right w:val="single" w:sz="8" w:space="0" w:color="00000A"/>
            </w:tcBorders>
            <w:tcMar>
              <w:top w:w="0" w:type="dxa"/>
              <w:left w:w="35" w:type="dxa"/>
              <w:bottom w:w="0" w:type="dxa"/>
              <w:right w:w="30" w:type="dxa"/>
            </w:tcMar>
            <w:vAlign w:val="center"/>
            <w:hideMark/>
          </w:tcPr>
          <w:p w:rsidR="00641320" w:rsidRDefault="00641320">
            <w:pPr>
              <w:pStyle w:val="Standard"/>
              <w:ind w:left="360"/>
              <w:jc w:val="both"/>
              <w:rPr>
                <w:rFonts w:ascii="Calibri" w:hAnsi="Calibri"/>
                <w:sz w:val="22"/>
                <w:szCs w:val="22"/>
              </w:rPr>
            </w:pPr>
            <w:r>
              <w:rPr>
                <w:rFonts w:ascii="Calibri" w:hAnsi="Calibri"/>
                <w:sz w:val="22"/>
                <w:szCs w:val="22"/>
              </w:rPr>
              <w:t>Papineau</w:t>
            </w: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Saint-Émile-de-Suffolk</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Boileau</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Namur</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Notre-Dame-de-Bonsecours</w:t>
            </w:r>
          </w:p>
        </w:tc>
      </w:tr>
      <w:tr w:rsidR="00641320" w:rsidTr="00641320">
        <w:trPr>
          <w:trHeight w:val="253"/>
        </w:trPr>
        <w:tc>
          <w:tcPr>
            <w:tcW w:w="0" w:type="auto"/>
            <w:vMerge/>
            <w:tcBorders>
              <w:top w:val="nil"/>
              <w:left w:val="single" w:sz="8" w:space="0" w:color="00000A"/>
              <w:bottom w:val="single" w:sz="8" w:space="0" w:color="00000A"/>
              <w:right w:val="single" w:sz="8" w:space="0" w:color="00000A"/>
            </w:tcBorders>
            <w:vAlign w:val="center"/>
            <w:hideMark/>
          </w:tcPr>
          <w:p w:rsidR="00641320" w:rsidRDefault="00641320">
            <w:pPr>
              <w:rPr>
                <w:lang w:eastAsia="zh-CN"/>
              </w:rPr>
            </w:pPr>
          </w:p>
        </w:tc>
        <w:tc>
          <w:tcPr>
            <w:tcW w:w="0" w:type="auto"/>
            <w:vMerge/>
            <w:tcBorders>
              <w:top w:val="nil"/>
              <w:left w:val="nil"/>
              <w:bottom w:val="single" w:sz="8" w:space="0" w:color="00000A"/>
              <w:right w:val="single" w:sz="8" w:space="0" w:color="00000A"/>
            </w:tcBorders>
            <w:vAlign w:val="center"/>
            <w:hideMark/>
          </w:tcPr>
          <w:p w:rsidR="00641320" w:rsidRDefault="00641320">
            <w:pPr>
              <w:rPr>
                <w:lang w:eastAsia="zh-CN"/>
              </w:rPr>
            </w:pPr>
          </w:p>
        </w:tc>
        <w:tc>
          <w:tcPr>
            <w:tcW w:w="3685" w:type="dxa"/>
            <w:tcBorders>
              <w:top w:val="nil"/>
              <w:left w:val="nil"/>
              <w:bottom w:val="single" w:sz="8" w:space="0" w:color="00000A"/>
              <w:right w:val="single" w:sz="8" w:space="0" w:color="00000A"/>
            </w:tcBorders>
            <w:tcMar>
              <w:top w:w="0" w:type="dxa"/>
              <w:left w:w="35" w:type="dxa"/>
              <w:bottom w:w="0" w:type="dxa"/>
              <w:right w:w="30" w:type="dxa"/>
            </w:tcMar>
            <w:vAlign w:val="bottom"/>
            <w:hideMark/>
          </w:tcPr>
          <w:p w:rsidR="00641320" w:rsidRDefault="00641320">
            <w:pPr>
              <w:pStyle w:val="Standard"/>
              <w:ind w:left="360"/>
              <w:jc w:val="both"/>
              <w:rPr>
                <w:rFonts w:ascii="Calibri" w:hAnsi="Calibri"/>
                <w:sz w:val="22"/>
                <w:szCs w:val="22"/>
              </w:rPr>
            </w:pPr>
            <w:r>
              <w:rPr>
                <w:rFonts w:ascii="Calibri" w:hAnsi="Calibri"/>
                <w:sz w:val="22"/>
                <w:szCs w:val="22"/>
              </w:rPr>
              <w:t>Notre-Dame-de-la-Paix</w:t>
            </w:r>
          </w:p>
        </w:tc>
      </w:tr>
    </w:tbl>
    <w:p w:rsidR="00641320" w:rsidRDefault="00641320" w:rsidP="00641320">
      <w:pPr>
        <w:rPr>
          <w:color w:val="1F4E79"/>
        </w:rPr>
      </w:pPr>
    </w:p>
    <w:p w:rsidR="00641320" w:rsidRDefault="00641320"/>
    <w:sectPr w:rsidR="00641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20"/>
    <w:rsid w:val="006413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1B8E8-DFFC-4111-A1F8-3748A185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32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basedOn w:val="Normal"/>
    <w:rsid w:val="00641320"/>
    <w:pPr>
      <w:autoSpaceDN w:val="0"/>
    </w:pPr>
    <w:rPr>
      <w:rFonts w:ascii="Liberation Serif" w:hAnsi="Liberation Seri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Albert</dc:creator>
  <cp:keywords/>
  <dc:description/>
  <cp:lastModifiedBy>Jean-François Albert</cp:lastModifiedBy>
  <cp:revision>1</cp:revision>
  <dcterms:created xsi:type="dcterms:W3CDTF">2018-10-04T16:13:00Z</dcterms:created>
  <dcterms:modified xsi:type="dcterms:W3CDTF">2018-10-04T16:14:00Z</dcterms:modified>
</cp:coreProperties>
</file>